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В С Е О Б Щ А Я        К О Н Ф Е Д Е Р А Ц И Я        П Р О Ф С О Ю З О В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Департамент по вопросам защиты социально-экономических интересов трудящихся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 затратах на содержание рабочей силы в странах Содружества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(По данным Статкомитета СНГ)</w:t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Стоимость затрат на рабочую силу характеризует фактические затраты, произведенные работодателями в связи с наймом работников. Они представляют собой сумму вознаграждений в денежной и натуральной формах за выполненную работу и дополнительные расходы, как обязательные, так и добровольные, связанные с обеспечением воспроизводства рабочей силы. Их размер представлен в Таблице 1.</w:t>
      </w:r>
    </w:p>
    <w:p w:rsidR="00000000" w:rsidDel="00000000" w:rsidP="00000000" w:rsidRDefault="00000000" w:rsidRPr="00000000" w14:paraId="0000000A">
      <w:pPr>
        <w:shd w:fill="ffffff" w:val="clear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Согласно международной стандартной классификации все расходы на рабочую силу (резолюция 11-й Международной конференцией статистиков труда от октября 1966 г.) являются составляющими десяти базовых групп. Среди них фонд заработной платы, а также дополнительные расходы работодателей, направленные, в частности, на социальные нужды, расходы по обеспечению работников жильем, профессиональное обучение, культурно-бытовое обслуживание, взносы в государственные социальные внебюджетные фонды, страховые взносы на добровольное пенсионное, медицинское и другие виды страхования, командировочные расходы, а также налоги и сборы, связанные с использованием наемной рабочей силы.</w:t>
      </w:r>
    </w:p>
    <w:p w:rsidR="00000000" w:rsidDel="00000000" w:rsidP="00000000" w:rsidRDefault="00000000" w:rsidRPr="00000000" w14:paraId="0000000B">
      <w:pPr>
        <w:shd w:fill="ffffff" w:val="clear"/>
        <w:ind w:firstLine="709"/>
        <w:jc w:val="both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Основными источниками статистических данных о структуре затрат на рабочую силу в странах Содружества являются годовая отчетность по труду (в Азербайджане, Армении, Казахстане, Кыргызстане, Молдове и Таджикистане) и специальные выборочные обследования (в Беларуси – один раз в 2 года, России - один раз в 4-5 лет и Украине – один раз в 5 лет).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затрат на содержание рабочей силы в странах Содружества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(в среднем на одного работника в месяц)</w:t>
      </w:r>
    </w:p>
    <w:tbl>
      <w:tblPr>
        <w:tblStyle w:val="Table1"/>
        <w:tblW w:w="9903.0" w:type="dxa"/>
        <w:jc w:val="left"/>
        <w:tblInd w:w="-6.999999999999993" w:type="dxa"/>
        <w:tblLayout w:type="fixed"/>
        <w:tblLook w:val="0000"/>
      </w:tblPr>
      <w:tblGrid>
        <w:gridCol w:w="2977"/>
        <w:gridCol w:w="851"/>
        <w:gridCol w:w="992"/>
        <w:gridCol w:w="850"/>
        <w:gridCol w:w="993"/>
        <w:gridCol w:w="992"/>
        <w:gridCol w:w="1701"/>
        <w:gridCol w:w="547"/>
        <w:tblGridChange w:id="0">
          <w:tblGrid>
            <w:gridCol w:w="2977"/>
            <w:gridCol w:w="851"/>
            <w:gridCol w:w="992"/>
            <w:gridCol w:w="850"/>
            <w:gridCol w:w="993"/>
            <w:gridCol w:w="992"/>
            <w:gridCol w:w="1701"/>
            <w:gridCol w:w="54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Справочно: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2023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в национальной валюте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евро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superscript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Азербайджан, манатов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575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669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1144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Армения, тыс. драмов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272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313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738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Беларусь, белорусских рублей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1423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2371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Казахстан, тыс. тенге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343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Кыргызстан, сомов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16098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22442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31564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37748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397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Молдова, леев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5694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7842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9890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13085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15253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788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Россия, рублей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45870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59902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5)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90059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Таджикистан, сомони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...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Узбекистан, тыс. сумов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4543906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5209149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60" w:line="22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410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0" w:line="1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Беларуси обследование проводится 1 раз в 2 года, в России – 1 раз в 4-5 лет.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Здесь и далее – в пересчете по официальным курсам валют, установленным центральными (национальными) банками стран СНГ.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2022 г.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2013 г.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0" w:line="1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2017 г.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0" w:line="1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2021 г.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о структуре затрат на рабочую силу представлены в Таблице 2.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затрат на содержание рабочей силы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(2023 г.; в %)</w:t>
      </w:r>
      <w:r w:rsidDel="00000000" w:rsidR="00000000" w:rsidRPr="00000000">
        <w:rPr>
          <w:rtl w:val="0"/>
        </w:rPr>
      </w:r>
    </w:p>
    <w:tbl>
      <w:tblPr>
        <w:tblStyle w:val="Table2"/>
        <w:tblW w:w="9358.0" w:type="dxa"/>
        <w:jc w:val="left"/>
        <w:tblLayout w:type="fixed"/>
        <w:tblLook w:val="0000"/>
      </w:tblPr>
      <w:tblGrid>
        <w:gridCol w:w="2410"/>
        <w:gridCol w:w="709"/>
        <w:gridCol w:w="567"/>
        <w:gridCol w:w="850"/>
        <w:gridCol w:w="851"/>
        <w:gridCol w:w="850"/>
        <w:gridCol w:w="709"/>
        <w:gridCol w:w="851"/>
        <w:gridCol w:w="567"/>
        <w:gridCol w:w="141"/>
        <w:gridCol w:w="853"/>
        <w:tblGridChange w:id="0">
          <w:tblGrid>
            <w:gridCol w:w="2410"/>
            <w:gridCol w:w="709"/>
            <w:gridCol w:w="567"/>
            <w:gridCol w:w="850"/>
            <w:gridCol w:w="851"/>
            <w:gridCol w:w="850"/>
            <w:gridCol w:w="709"/>
            <w:gridCol w:w="851"/>
            <w:gridCol w:w="567"/>
            <w:gridCol w:w="141"/>
            <w:gridCol w:w="853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Азербай-</w:t>
            </w:r>
          </w:p>
          <w:p w:rsidR="00000000" w:rsidDel="00000000" w:rsidP="00000000" w:rsidRDefault="00000000" w:rsidRPr="00000000" w14:paraId="00000072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джан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Арме-</w:t>
            </w:r>
          </w:p>
          <w:p w:rsidR="00000000" w:rsidDel="00000000" w:rsidP="00000000" w:rsidRDefault="00000000" w:rsidRPr="00000000" w14:paraId="00000074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ния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Беларусь </w:t>
            </w:r>
          </w:p>
          <w:p w:rsidR="00000000" w:rsidDel="00000000" w:rsidP="00000000" w:rsidRDefault="00000000" w:rsidRPr="00000000" w14:paraId="00000076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(2022)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Казах-</w:t>
            </w:r>
          </w:p>
          <w:p w:rsidR="00000000" w:rsidDel="00000000" w:rsidP="00000000" w:rsidRDefault="00000000" w:rsidRPr="00000000" w14:paraId="00000078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cтан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Кыргыз-</w:t>
            </w:r>
          </w:p>
          <w:p w:rsidR="00000000" w:rsidDel="00000000" w:rsidP="00000000" w:rsidRDefault="00000000" w:rsidRPr="00000000" w14:paraId="0000007A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стан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Мол-</w:t>
            </w:r>
          </w:p>
          <w:p w:rsidR="00000000" w:rsidDel="00000000" w:rsidP="00000000" w:rsidRDefault="00000000" w:rsidRPr="00000000" w14:paraId="0000007C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дова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Россия</w:t>
            </w:r>
          </w:p>
          <w:p w:rsidR="00000000" w:rsidDel="00000000" w:rsidP="00000000" w:rsidRDefault="00000000" w:rsidRPr="00000000" w14:paraId="0000007E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(2021)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Таджи-</w:t>
            </w:r>
          </w:p>
          <w:p w:rsidR="00000000" w:rsidDel="00000000" w:rsidP="00000000" w:rsidRDefault="00000000" w:rsidRPr="00000000" w14:paraId="00000080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кистан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16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Узбекис-тан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spacing w:before="220" w:line="19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Общая сумма затрат на содержание рабочей силы </w:t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4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8C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before="220" w:line="19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том числе: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spacing w:before="220" w:line="19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зарплата</w:t>
              <w:br w:type="textWrapping"/>
              <w:t xml:space="preserve">(оплата за отработ. время)</w:t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A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74,3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86,6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62,5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67,5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69,7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64,0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A2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58,5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неотработ. время</w:t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5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AD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 </w:t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0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8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B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0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C3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6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CE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1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21,5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D9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15,8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B">
            <w:pPr>
              <w:spacing w:before="220" w:line="19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обязательные отчисления</w:t>
            </w:r>
          </w:p>
        </w:tc>
        <w:tc>
          <w:tcPr>
            <w:tcBorders>
              <w:left w:color="000000" w:space="0" w:sz="0" w:val="nil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17,5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13,4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18,3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19,8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6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профессио-нальное обучение</w:t>
            </w:r>
          </w:p>
        </w:tc>
        <w:tc>
          <w:tcPr>
            <w:tcBorders>
              <w:left w:color="000000" w:space="0" w:sz="0" w:val="nil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F1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</w:t>
              <w:br w:type="textWrapping"/>
              <w:t xml:space="preserve">обслуживание</w:t>
            </w:r>
          </w:p>
        </w:tc>
        <w:tc>
          <w:tcPr>
            <w:tcBorders>
              <w:left w:color="000000" w:space="0" w:sz="0" w:val="nil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FC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tcBorders>
              <w:left w:color="000000" w:space="0" w:sz="0" w:val="nil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1,8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1,6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5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07">
            <w:pPr>
              <w:spacing w:before="220" w:line="190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налоги, включаемые в расходы на рабочую силу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5,4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before="220" w:line="19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</w:tbl>
    <w:p w:rsidR="00000000" w:rsidDel="00000000" w:rsidP="00000000" w:rsidRDefault="00000000" w:rsidRPr="00000000" w14:paraId="00000112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Динамика по затратам на рабочую силу в странах Содружества представлена в приложениях 1-8. Уровни затрат на рабочую силу в разрезе видов экономической деятельности существенно различаются (см. Приложение 9).</w:t>
      </w:r>
    </w:p>
    <w:p w:rsidR="00000000" w:rsidDel="00000000" w:rsidP="00000000" w:rsidRDefault="00000000" w:rsidRPr="00000000" w14:paraId="00000114">
      <w:pPr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Как видно из Таблицы 2, основной составляющей в структуре затрат на рабочую силу является фонд оплаты труда, включающий в себя прямую заработную плату (плата за отработанное время), плату за неотработанное время, единовременные премии и поощрения, а также заработную плату в натуральной форме. Указанные затраты сопоставимы со странами Европы, где они составляют от 66 (Франция) до 93% (Мальта) всех затрат на рабочую силу (см. Диаграмму 1).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касается доли расходов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социальные выплаты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работникам, то в большинстве стран Содружества она ниже 20%. В тоже время, например, в Чехии, Бельгии, Франции, Италии и Швеции она составляет свыше 25% (см. Диаграмму 2).</w:t>
      </w:r>
    </w:p>
    <w:p w:rsidR="00000000" w:rsidDel="00000000" w:rsidP="00000000" w:rsidRDefault="00000000" w:rsidRPr="00000000" w14:paraId="00000116">
      <w:pPr>
        <w:shd w:fill="ffffff" w:val="clear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Диаграмма 1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расходов на заработную плату в общей стоимости затрат на рабочую силу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(в 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-55244</wp:posOffset>
            </wp:positionH>
            <wp:positionV relativeFrom="paragraph">
              <wp:posOffset>5080</wp:posOffset>
            </wp:positionV>
            <wp:extent cx="4286885" cy="6612890"/>
            <wp:effectExtent b="0" l="0" r="0" t="0"/>
            <wp:wrapNone/>
            <wp:docPr id="1" name=""/>
            <a:graphic>
              <a:graphicData uri="http://schemas.openxmlformats.org/drawingml/2006/chart">
                <c:chart r:id="rId6"/>
              </a:graphicData>
            </a:graphic>
          </wp:anchor>
        </w:drawing>
      </w:r>
    </w:p>
    <w:p w:rsidR="00000000" w:rsidDel="00000000" w:rsidP="00000000" w:rsidRDefault="00000000" w:rsidRPr="00000000" w14:paraId="0000011C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Затраты предприятий и организаций по обеспечению работников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жильем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странах СНГ составляют 0,1-0,6% всех затрат.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Удельный вес расходов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подготовке и переподготовке кадров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(затраты на обучение, стипендии, содержание учебных заведений и помещений) и на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ультурно-бытовое обслуживание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работников (проведение культурно-массовых, спортивных мероприятий и аренда помещений для этих целей, содержание клубов, спортивных сооружений и т.д.) почти во всех странах Содружества по-прежнему не превышал 0,3%. Особенно следует обратить внимание, что на подготовку кадров в большинстве стран региона приходится 0,1-0,2% от всех затрат на рабочую силу.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Доля расходов на социальные выплаты в общей стоимости затрат на рабочую силу </w:t>
      </w:r>
      <w:r w:rsidDel="00000000" w:rsidR="00000000" w:rsidRPr="00000000">
        <w:rPr>
          <w:sz w:val="16"/>
          <w:szCs w:val="16"/>
          <w:rtl w:val="0"/>
        </w:rPr>
        <w:t xml:space="preserve">(в %)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276578</wp:posOffset>
            </wp:positionH>
            <wp:positionV relativeFrom="paragraph">
              <wp:posOffset>223106</wp:posOffset>
            </wp:positionV>
            <wp:extent cx="3785191" cy="5201447"/>
            <wp:effectExtent b="0" l="0" r="0" t="0"/>
            <wp:wrapNone/>
            <wp:docPr id="2" name=""/>
            <a:graphic>
              <a:graphicData uri="http://schemas.openxmlformats.org/drawingml/2006/chart">
                <c:chart r:id="rId7"/>
              </a:graphicData>
            </a:graphic>
          </wp:anchor>
        </w:drawing>
      </w:r>
    </w:p>
    <w:p w:rsidR="00000000" w:rsidDel="00000000" w:rsidP="00000000" w:rsidRDefault="00000000" w:rsidRPr="00000000" w14:paraId="00000148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1"/>
        <w:spacing w:after="20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Сообщается в порядке информации.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Департамент ВКП по вопросам защиты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социально-экономических интересов трудящихся</w:t>
      </w:r>
    </w:p>
    <w:p w:rsidR="00000000" w:rsidDel="00000000" w:rsidP="00000000" w:rsidRDefault="00000000" w:rsidRPr="00000000" w14:paraId="00000165">
      <w:pPr>
        <w:spacing w:line="2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1</w:t>
      </w:r>
    </w:p>
    <w:p w:rsidR="00000000" w:rsidDel="00000000" w:rsidP="00000000" w:rsidRDefault="00000000" w:rsidRPr="00000000" w14:paraId="0000016D">
      <w:pPr>
        <w:spacing w:line="260" w:lineRule="auto"/>
        <w:jc w:val="center"/>
        <w:rPr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Стоимость затрат на содержание рабочей силы в Азербайджане</w:t>
      </w: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Layout w:type="fixed"/>
        <w:tblLook w:val="0000"/>
      </w:tblPr>
      <w:tblGrid>
        <w:gridCol w:w="3261"/>
        <w:gridCol w:w="1275"/>
        <w:gridCol w:w="284"/>
        <w:gridCol w:w="1276"/>
        <w:gridCol w:w="283"/>
        <w:gridCol w:w="1134"/>
        <w:gridCol w:w="284"/>
        <w:gridCol w:w="141"/>
        <w:gridCol w:w="1418"/>
        <w:gridCol w:w="142"/>
        <w:tblGridChange w:id="0">
          <w:tblGrid>
            <w:gridCol w:w="3261"/>
            <w:gridCol w:w="1275"/>
            <w:gridCol w:w="284"/>
            <w:gridCol w:w="1276"/>
            <w:gridCol w:w="283"/>
            <w:gridCol w:w="1134"/>
            <w:gridCol w:w="284"/>
            <w:gridCol w:w="141"/>
            <w:gridCol w:w="1418"/>
            <w:gridCol w:w="142"/>
          </w:tblGrid>
        </w:tblGridChange>
      </w:tblGrid>
      <w:tr>
        <w:trPr>
          <w:cantSplit w:val="1"/>
          <w:trHeight w:val="256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40" w:before="4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40" w:before="40" w:line="2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40" w:before="40" w:line="2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40" w:before="40" w:line="2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40" w:before="40" w:line="2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2023</w:t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spacing w:after="80" w:before="8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среднем на одного работника в месяц,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манатов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0">
            <w:pPr>
              <w:spacing w:before="30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1">
            <w:pPr>
              <w:spacing w:before="300" w:line="200" w:lineRule="auto"/>
              <w:ind w:left="-113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575,2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82">
            <w:pPr>
              <w:spacing w:before="300" w:line="200" w:lineRule="auto"/>
              <w:ind w:left="-113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862,7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84">
            <w:pPr>
              <w:spacing w:before="300" w:line="200" w:lineRule="auto"/>
              <w:ind w:left="-113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1026,4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86">
            <w:pPr>
              <w:spacing w:before="300" w:line="200" w:lineRule="auto"/>
              <w:ind w:left="-113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1143,8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9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A">
            <w:pPr>
              <w:spacing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8B">
            <w:pPr>
              <w:spacing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8D">
            <w:pPr>
              <w:spacing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90">
            <w:pPr>
              <w:spacing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2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3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436,0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94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648,7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96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762,3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99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849,6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B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C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9D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42,9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9F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A2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59,1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4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5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A6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16,1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A8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AB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25,2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D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E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AF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B1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B4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6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7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B8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3,4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BA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BD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F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0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C1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145,7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C3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177,7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C6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201,0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8">
            <w:pPr>
              <w:spacing w:before="300" w:line="20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 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9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CA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144,2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CC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176,4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CF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199,8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1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2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D3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1,4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D5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D8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1,9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A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B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DC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DE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E1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3">
            <w:pPr>
              <w:spacing w:before="30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4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2,2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5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3,7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7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5,4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A">
            <w:pPr>
              <w:spacing w:before="300" w:line="200" w:lineRule="auto"/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5,1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120" w:before="120" w:line="1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pStyle w:val="Heading2"/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6"/>
                <w:szCs w:val="16"/>
                <w:rtl w:val="0"/>
              </w:rPr>
              <w:t xml:space="preserve">в % к итогу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6">
            <w:pPr>
              <w:spacing w:before="320" w:line="200" w:lineRule="auto"/>
              <w:ind w:right="-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7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9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B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E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0">
            <w:pPr>
              <w:spacing w:before="320"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1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03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05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08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A">
            <w:pPr>
              <w:spacing w:before="32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B">
            <w:pPr>
              <w:spacing w:before="320" w:line="200" w:lineRule="auto"/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0D">
            <w:pPr>
              <w:spacing w:before="320" w:line="200" w:lineRule="auto"/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75,2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0F">
            <w:pPr>
              <w:spacing w:before="320" w:line="200" w:lineRule="auto"/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12">
            <w:pPr>
              <w:spacing w:before="320" w:line="200" w:lineRule="auto"/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74,3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4">
            <w:pPr>
              <w:spacing w:before="32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5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17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19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1C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5,2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E">
            <w:pPr>
              <w:spacing w:before="32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F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21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1,9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23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26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2,2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8">
            <w:pPr>
              <w:spacing w:before="32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9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2B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2D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30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2">
            <w:pPr>
              <w:spacing w:before="32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3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35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37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3A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C">
            <w:pPr>
              <w:spacing w:before="32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D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3F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16,9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41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44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17,6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6">
            <w:pPr>
              <w:spacing w:before="320" w:line="20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</w:t>
              <w:br w:type="textWrapping"/>
              <w:t xml:space="preserve">отчисления 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7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49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16,7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4B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4E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17,5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0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профобучение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1">
            <w:pPr>
              <w:spacing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53">
            <w:pPr>
              <w:spacing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55">
            <w:pPr>
              <w:spacing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58">
            <w:pPr>
              <w:spacing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A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B">
            <w:pPr>
              <w:spacing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5D">
            <w:pPr>
              <w:spacing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5F">
            <w:pPr>
              <w:spacing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62">
            <w:pPr>
              <w:spacing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4">
            <w:pPr>
              <w:spacing w:before="32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5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7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9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C">
            <w:pPr>
              <w:spacing w:before="320" w:line="200" w:lineRule="auto"/>
              <w:ind w:right="28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</w:tr>
    </w:tbl>
    <w:p w:rsidR="00000000" w:rsidDel="00000000" w:rsidP="00000000" w:rsidRDefault="00000000" w:rsidRPr="00000000" w14:paraId="0000026E">
      <w:pPr>
        <w:pStyle w:val="Heading3"/>
        <w:spacing w:line="240" w:lineRule="auto"/>
        <w:jc w:val="right"/>
        <w:rPr/>
      </w:pPr>
      <w:r w:rsidDel="00000000" w:rsidR="00000000" w:rsidRPr="00000000">
        <w:rPr>
          <w:b w:val="0"/>
          <w:sz w:val="20"/>
          <w:szCs w:val="20"/>
          <w:rtl w:val="0"/>
        </w:rPr>
        <w:t xml:space="preserve">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затрат на содержание рабочей силы в Армении</w:t>
      </w:r>
    </w:p>
    <w:p w:rsidR="00000000" w:rsidDel="00000000" w:rsidP="00000000" w:rsidRDefault="00000000" w:rsidRPr="00000000" w14:paraId="00000270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Layout w:type="fixed"/>
        <w:tblLook w:val="0000"/>
      </w:tblPr>
      <w:tblGrid>
        <w:gridCol w:w="3686"/>
        <w:gridCol w:w="1417"/>
        <w:gridCol w:w="142"/>
        <w:gridCol w:w="1418"/>
        <w:gridCol w:w="141"/>
        <w:gridCol w:w="1134"/>
        <w:gridCol w:w="284"/>
        <w:gridCol w:w="1134"/>
        <w:tblGridChange w:id="0">
          <w:tblGrid>
            <w:gridCol w:w="3686"/>
            <w:gridCol w:w="1417"/>
            <w:gridCol w:w="142"/>
            <w:gridCol w:w="1418"/>
            <w:gridCol w:w="141"/>
            <w:gridCol w:w="1134"/>
            <w:gridCol w:w="284"/>
            <w:gridCol w:w="1134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after="40" w:before="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2023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line="1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before="120" w:line="12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среднем на одного работника в месяц,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драмов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1">
            <w:pPr>
              <w:spacing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2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185869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84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222233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86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272318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8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313427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9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A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8C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8E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0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1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2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161618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94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193338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96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234827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8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271417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9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A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13092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9C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16169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9E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19278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0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20767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1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2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A4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7356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A6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11433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8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13139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9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A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AC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AE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0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1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2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B4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B6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8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9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A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BC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2526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BE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2961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0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3423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1">
            <w:pPr>
              <w:spacing w:line="20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</w:t>
              <w:br w:type="textWrapping"/>
              <w:t xml:space="preserve">отчисления 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2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C4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C6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8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9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A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CC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CE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0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1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2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D4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D6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8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9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A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C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1699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E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2120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0">
            <w:pPr>
              <w:spacing w:line="200" w:lineRule="auto"/>
              <w:ind w:left="-57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2507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120" w:before="120" w:line="1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1"/>
              <w:spacing w:after="120" w:before="12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% к итогу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9">
            <w:pPr>
              <w:ind w:right="-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E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E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E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F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F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F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9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A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F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F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F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86,6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неотработан-ное время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9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</w:t>
              <w:br w:type="textWrapping"/>
              <w:t xml:space="preserve">поощрения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</w:t>
              <w:br w:type="textWrapping"/>
              <w:t xml:space="preserve">проживания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9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9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</w:t>
              <w:br w:type="textWrapping"/>
              <w:t xml:space="preserve">отчисления 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3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3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3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9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3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3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3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1,6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</w:tr>
    </w:tbl>
    <w:p w:rsidR="00000000" w:rsidDel="00000000" w:rsidP="00000000" w:rsidRDefault="00000000" w:rsidRPr="00000000" w14:paraId="0000034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pStyle w:val="Heading3"/>
        <w:spacing w:line="240" w:lineRule="auto"/>
        <w:jc w:val="right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 w14:paraId="0000035E">
      <w:pPr>
        <w:jc w:val="center"/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rtl w:val="0"/>
        </w:rPr>
        <w:t xml:space="preserve">Стоимость затрат на содержание рабочей силы в Беларуси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5.0" w:type="dxa"/>
        <w:jc w:val="left"/>
        <w:tblInd w:w="-70.0" w:type="dxa"/>
        <w:tblLayout w:type="fixed"/>
        <w:tblLook w:val="0000"/>
      </w:tblPr>
      <w:tblGrid>
        <w:gridCol w:w="3189"/>
        <w:gridCol w:w="43"/>
        <w:gridCol w:w="1565"/>
        <w:gridCol w:w="196"/>
        <w:gridCol w:w="1370"/>
        <w:gridCol w:w="130"/>
        <w:gridCol w:w="1436"/>
        <w:gridCol w:w="64"/>
        <w:gridCol w:w="1502"/>
        <w:tblGridChange w:id="0">
          <w:tblGrid>
            <w:gridCol w:w="3189"/>
            <w:gridCol w:w="43"/>
            <w:gridCol w:w="1565"/>
            <w:gridCol w:w="196"/>
            <w:gridCol w:w="1370"/>
            <w:gridCol w:w="130"/>
            <w:gridCol w:w="1436"/>
            <w:gridCol w:w="64"/>
            <w:gridCol w:w="150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0">
            <w:pPr>
              <w:spacing w:after="40" w:before="40" w:line="28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spacing w:after="40" w:before="40" w:line="280" w:lineRule="auto"/>
              <w:jc w:val="center"/>
              <w:rPr>
                <w:b w:val="1"/>
                <w:sz w:val="17"/>
                <w:szCs w:val="17"/>
                <w:vertAlign w:val="superscript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after="40" w:before="40" w:line="280" w:lineRule="auto"/>
              <w:jc w:val="center"/>
              <w:rPr>
                <w:b w:val="1"/>
                <w:sz w:val="17"/>
                <w:szCs w:val="17"/>
                <w:vertAlign w:val="superscript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after="40" w:before="40" w:line="28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2020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after="40" w:before="40" w:line="28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2022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9">
            <w:pPr>
              <w:spacing w:after="40" w:before="40" w:line="18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after="40" w:before="40" w:line="18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среднем на одного работника в месяц,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белорусских рублей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1088,2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7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1422,5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7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1798,8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79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2371,4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из них: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7E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80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8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4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6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669,6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8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878,9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89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1128,7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8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1480,1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D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90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9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9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137,1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6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8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99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9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9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123,0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F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1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A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A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A6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5,5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8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A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A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A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2,8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272,7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B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354,2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B6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434,8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B8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571,8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A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</w:t>
              <w:br w:type="textWrapping"/>
              <w:t xml:space="preserve">отчисления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C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254,4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B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331,8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B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403,1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C1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527,3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3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C6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C8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C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3,5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C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E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C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D1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D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4,1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5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D8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D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DC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41,6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E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налоги, включаемые в расходы на рабочую силу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0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2,8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1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0,9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1,9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7">
            <w:pPr>
              <w:spacing w:after="40" w:before="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after="40" w:before="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% к итогу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0">
            <w:pPr>
              <w:spacing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1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4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6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8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100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9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3FA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FD">
            <w:pPr>
              <w:spacing w:line="200" w:lineRule="auto"/>
              <w:ind w:right="170"/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FF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1">
            <w:pPr>
              <w:spacing w:line="200" w:lineRule="auto"/>
              <w:ind w:right="170"/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02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03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06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08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62,7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A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62,4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0B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0C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0F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11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3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5,8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14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15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18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1A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C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5,2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1D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1E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21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23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5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0,2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26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27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2A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2C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E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2F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30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33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35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7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24,1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38">
            <w:pPr>
              <w:spacing w:line="20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</w:t>
              <w:br w:type="textWrapping"/>
              <w:t xml:space="preserve">отчисления 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39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3C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3E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0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41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42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45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47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9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4A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4B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4E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50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2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0,2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53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54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57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59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B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1,8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налоги, включаемые в расходы на рабочую силу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5D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60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62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64">
            <w:pPr>
              <w:spacing w:line="200" w:lineRule="auto"/>
              <w:ind w:right="17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0,1</w:t>
            </w:r>
          </w:p>
        </w:tc>
      </w:tr>
    </w:tbl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4</w:t>
      </w:r>
    </w:p>
    <w:p w:rsidR="00000000" w:rsidDel="00000000" w:rsidP="00000000" w:rsidRDefault="00000000" w:rsidRPr="00000000" w14:paraId="0000046D">
      <w:pPr>
        <w:spacing w:line="260" w:lineRule="auto"/>
        <w:jc w:val="center"/>
        <w:rPr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Стоимость затрат на содержание рабочей силы в Казахстане</w:t>
      </w: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Layout w:type="fixed"/>
        <w:tblLook w:val="0000"/>
      </w:tblPr>
      <w:tblGrid>
        <w:gridCol w:w="3686"/>
        <w:gridCol w:w="1559"/>
        <w:gridCol w:w="284"/>
        <w:gridCol w:w="1134"/>
        <w:gridCol w:w="283"/>
        <w:gridCol w:w="1134"/>
        <w:gridCol w:w="142"/>
        <w:gridCol w:w="1134"/>
        <w:gridCol w:w="142"/>
        <w:tblGridChange w:id="0">
          <w:tblGrid>
            <w:gridCol w:w="3686"/>
            <w:gridCol w:w="1559"/>
            <w:gridCol w:w="284"/>
            <w:gridCol w:w="1134"/>
            <w:gridCol w:w="283"/>
            <w:gridCol w:w="1134"/>
            <w:gridCol w:w="142"/>
            <w:gridCol w:w="1134"/>
            <w:gridCol w:w="142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E">
            <w:pPr>
              <w:spacing w:after="40" w:before="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46F">
            <w:pPr>
              <w:spacing w:after="40" w:before="40" w:lineRule="auto"/>
              <w:ind w:left="-113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2015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470">
            <w:pPr>
              <w:spacing w:after="40" w:before="40" w:lineRule="auto"/>
              <w:ind w:left="-113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472">
            <w:pPr>
              <w:spacing w:after="40" w:before="40" w:lineRule="auto"/>
              <w:ind w:left="-113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474">
            <w:pPr>
              <w:spacing w:after="40" w:before="40" w:lineRule="auto"/>
              <w:ind w:left="-113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6">
            <w:pPr>
              <w:spacing w:after="40" w:before="40" w:line="1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pStyle w:val="Heading2"/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i w:val="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6"/>
                <w:szCs w:val="16"/>
                <w:rtl w:val="0"/>
              </w:rPr>
              <w:t xml:space="preserve">в среднем на одного работника в месяц,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16"/>
                <w:szCs w:val="16"/>
                <w:rtl w:val="0"/>
              </w:rPr>
              <w:t xml:space="preserve">тенге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7E">
            <w:pPr>
              <w:ind w:right="-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F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137598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80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231366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82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342637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84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401080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7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88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8A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8C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8E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  <w:r w:rsidDel="00000000" w:rsidR="00000000" w:rsidRPr="00000000">
              <w:pict>
                <v:shape id="AutoShape 578" style="position:absolute;left:0;text-align:left;margin-left:115.65pt;margin-top:16.95pt;width:7.1pt;height:1in;z-index:251660288;visibility:visible;mso-position-horizontal:absolute;mso-position-vertical:absolute;mso-position-horizontal-relative:margin;mso-position-vertical-relative:text;" o:spid="_x0000_s1026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"/>
              </w:pic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0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91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143740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93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227325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95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250644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9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8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118954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99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16974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9B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23296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9D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27532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9F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0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A1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38654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A3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41646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A5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66324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A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8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A9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AB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AD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55,7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AF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0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B1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1325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B3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2747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B5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3096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B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8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6176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B9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12451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BB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21784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BD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23513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BF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0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C1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3298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C3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7147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C5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7962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C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8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C9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CB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CD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2822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CF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0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D1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D3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D5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875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D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8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1890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D9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2966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DB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4687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DD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4749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DF">
            <w:pPr>
              <w:ind w:left="113" w:right="-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налоги, включаемые в расходы на рабочую силу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E0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8884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E1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14352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E3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19221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E5">
            <w:pPr>
              <w:ind w:left="-57" w:right="1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21470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spacing w:after="60" w:before="6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spacing w:after="60" w:before="6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% к итогу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F0">
            <w:pPr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F1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F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F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F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gridSpan w:val="8"/>
            <w:vAlign w:val="bottom"/>
          </w:tcPr>
          <w:p w:rsidR="00000000" w:rsidDel="00000000" w:rsidP="00000000" w:rsidRDefault="00000000" w:rsidRPr="00000000" w14:paraId="000004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02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0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AutoShape 580" style="position:absolute;left:0;text-align:left;margin-left:-0.15pt;margin-top:10.45pt;width:8.8pt;height:85.5pt;z-index:251661312;visibility:visible;mso-position-horizontal-relative:margin;mso-position-vertical-relative:text;mso-position-horizontal:absolute;mso-position-vertical:absolute;" o:spid="_x0000_s1027" type="#_x0000_t88" adj="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"/>
              </w:pic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0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0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09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62,5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0B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0C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0E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10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1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14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1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1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19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1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1D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1E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20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2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2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26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2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29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2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2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2F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30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3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3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36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38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 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39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3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3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3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4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4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4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46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48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4A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4B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4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4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51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53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5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56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58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5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5C">
            <w:pPr>
              <w:ind w:left="113" w:right="-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налоги, включаемые в расходы на рабочую силу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5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6,5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5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6,2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61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5,6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6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5,4</w:t>
            </w:r>
          </w:p>
        </w:tc>
      </w:tr>
    </w:tbl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spacing w:before="60" w:line="2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Стоимость затрат на содержание рабочей силы в Кыргызстане</w:t>
      </w:r>
      <w:r w:rsidDel="00000000" w:rsidR="00000000" w:rsidRPr="00000000">
        <w:rPr>
          <w:rtl w:val="0"/>
        </w:rPr>
      </w:r>
    </w:p>
    <w:tbl>
      <w:tblPr>
        <w:tblStyle w:val="Table7"/>
        <w:tblW w:w="9425.0" w:type="dxa"/>
        <w:jc w:val="left"/>
        <w:tblInd w:w="-70.0" w:type="dxa"/>
        <w:tblLayout w:type="fixed"/>
        <w:tblLook w:val="0000"/>
      </w:tblPr>
      <w:tblGrid>
        <w:gridCol w:w="70"/>
        <w:gridCol w:w="3544"/>
        <w:gridCol w:w="1559"/>
        <w:gridCol w:w="284"/>
        <w:gridCol w:w="1276"/>
        <w:gridCol w:w="283"/>
        <w:gridCol w:w="1134"/>
        <w:gridCol w:w="142"/>
        <w:gridCol w:w="1133"/>
        <w:tblGridChange w:id="0">
          <w:tblGrid>
            <w:gridCol w:w="70"/>
            <w:gridCol w:w="3544"/>
            <w:gridCol w:w="1559"/>
            <w:gridCol w:w="284"/>
            <w:gridCol w:w="1276"/>
            <w:gridCol w:w="283"/>
            <w:gridCol w:w="1134"/>
            <w:gridCol w:w="142"/>
            <w:gridCol w:w="1133"/>
          </w:tblGrid>
        </w:tblGridChange>
      </w:tblGrid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D">
            <w:pPr>
              <w:spacing w:after="40" w:before="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56E">
            <w:pPr>
              <w:spacing w:after="40" w:before="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2015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56F">
            <w:pPr>
              <w:spacing w:after="40" w:before="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571">
            <w:pPr>
              <w:spacing w:after="40" w:before="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573">
            <w:pPr>
              <w:spacing w:after="40" w:before="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2023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6">
            <w:pPr>
              <w:spacing w:after="40" w:before="40" w:line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pStyle w:val="Heading2"/>
              <w:spacing w:after="40" w:before="40" w:line="200" w:lineRule="auto"/>
              <w:jc w:val="center"/>
              <w:rPr>
                <w:rFonts w:ascii="Times New Roman" w:cs="Times New Roman" w:eastAsia="Times New Roman" w:hAnsi="Times New Roman"/>
                <w:i w:val="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6"/>
                <w:szCs w:val="16"/>
                <w:rtl w:val="0"/>
              </w:rPr>
              <w:t xml:space="preserve">в среднем на одного работника в месяц,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16"/>
                <w:szCs w:val="16"/>
                <w:rtl w:val="0"/>
              </w:rPr>
              <w:t xml:space="preserve">сомов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7F">
            <w:pPr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16097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81">
            <w:pPr>
              <w:ind w:left="-113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22442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83">
            <w:pPr>
              <w:ind w:left="-113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31564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85">
            <w:pPr>
              <w:ind w:left="-113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37748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8A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8C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8E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9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2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11274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93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15572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95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22001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97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25470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9A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9C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9E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2352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A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2842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A3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A5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A7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1937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A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2774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AC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D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AE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5B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249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5B2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517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B5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6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B7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5B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5B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BE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F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2212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C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3065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C2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5024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C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5156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C7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8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2176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C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2963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C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4327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CD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5067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D0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1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D2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D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D6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D9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A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D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DD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DF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E2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E3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364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E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379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E6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E8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841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A">
            <w:pPr>
              <w:spacing w:after="20" w:before="2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spacing w:after="20" w:before="2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% к итогу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F3">
            <w:pPr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F5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F7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F9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5FB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5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5FE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00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02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4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05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07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09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0B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69,7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D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67,5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0E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10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12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14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6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1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19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1B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1D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F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20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22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24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626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28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29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2B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2D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62F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31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32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34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36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38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15,9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3A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3B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 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3D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3F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41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43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44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46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48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4A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4C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4D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4F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51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53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5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56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658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2,3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65A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1,7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65C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1,9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65E">
            <w:pPr>
              <w:ind w:left="-57" w:right="284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2,2</w:t>
            </w:r>
          </w:p>
        </w:tc>
      </w:tr>
    </w:tbl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spacing w:line="2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spacing w:line="2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затрат на содержание рабочей силы в Молдове</w:t>
      </w:r>
    </w:p>
    <w:p w:rsidR="00000000" w:rsidDel="00000000" w:rsidP="00000000" w:rsidRDefault="00000000" w:rsidRPr="00000000" w14:paraId="00000679">
      <w:pPr>
        <w:spacing w:line="26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6.0" w:type="dxa"/>
        <w:jc w:val="left"/>
        <w:tblLayout w:type="fixed"/>
        <w:tblLook w:val="0000"/>
      </w:tblPr>
      <w:tblGrid>
        <w:gridCol w:w="3402"/>
        <w:gridCol w:w="1560"/>
        <w:gridCol w:w="1417"/>
        <w:gridCol w:w="142"/>
        <w:gridCol w:w="1417"/>
        <w:gridCol w:w="142"/>
        <w:gridCol w:w="1276"/>
        <w:tblGridChange w:id="0">
          <w:tblGrid>
            <w:gridCol w:w="3402"/>
            <w:gridCol w:w="1560"/>
            <w:gridCol w:w="1417"/>
            <w:gridCol w:w="142"/>
            <w:gridCol w:w="1417"/>
            <w:gridCol w:w="142"/>
            <w:gridCol w:w="1276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7A">
            <w:pPr>
              <w:spacing w:after="40" w:before="4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spacing w:after="120" w:line="2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2015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C">
            <w:pPr>
              <w:spacing w:after="120" w:line="2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E">
            <w:pPr>
              <w:spacing w:after="120" w:line="2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67F">
            <w:pPr>
              <w:spacing w:after="120" w:line="240" w:lineRule="auto"/>
              <w:ind w:left="-57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2023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1">
            <w:pPr>
              <w:spacing w:after="40" w:before="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spacing w:after="40" w:before="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среднем на одного работника в месяц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леев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88">
            <w:pPr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8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5694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8A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9890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8C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13085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8D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15253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9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91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93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9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96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97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3919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98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6937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9A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9088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9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10626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9D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9E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9F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A1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A2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A4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A5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A6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A8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A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AB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AC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AD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AF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B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B2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B3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B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B6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B7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B9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BA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1099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B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1851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BD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2534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BE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2931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C0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C1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C2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1788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C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2395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C5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2789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C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C8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C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C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CC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CE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CF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D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D2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D3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D5">
            <w:pPr>
              <w:spacing w:after="2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6D6">
            <w:pPr>
              <w:spacing w:after="20" w:lineRule="auto"/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6D7">
            <w:pPr>
              <w:spacing w:after="20" w:lineRule="auto"/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6D9">
            <w:pPr>
              <w:spacing w:after="20" w:lineRule="auto"/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6DA">
            <w:pPr>
              <w:spacing w:after="20" w:lineRule="auto"/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C">
            <w:pPr>
              <w:spacing w:after="40" w:before="40"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DD">
            <w:pPr>
              <w:spacing w:after="40" w:before="40" w:line="240" w:lineRule="auto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в % к итогу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E3">
            <w:pPr>
              <w:spacing w:line="200" w:lineRule="auto"/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E4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E5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6E6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E9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EA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EB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EC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6ED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F0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F1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F2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68,8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F3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70,1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6F4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F7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69,7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F8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F9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FA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6,9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6FB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FE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6FF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0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1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3,1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702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5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06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7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8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709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C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0D">
            <w:pPr>
              <w:spacing w:line="200" w:lineRule="auto"/>
              <w:ind w:left="113" w:right="-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E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F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710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3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14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5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6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18,7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717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A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1B">
            <w:pPr>
              <w:spacing w:line="20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C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1D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18,1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71E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1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22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3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4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725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8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29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A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B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72C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F">
            <w:pPr>
              <w:spacing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30">
            <w:pPr>
              <w:spacing w:after="20"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731">
            <w:pPr>
              <w:spacing w:after="20"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0,6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732">
            <w:pPr>
              <w:spacing w:after="20"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733">
            <w:pPr>
              <w:spacing w:after="20"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0,6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736">
            <w:pPr>
              <w:spacing w:after="20" w:line="200" w:lineRule="auto"/>
              <w:ind w:left="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</w:tr>
    </w:tbl>
    <w:p w:rsidR="00000000" w:rsidDel="00000000" w:rsidP="00000000" w:rsidRDefault="00000000" w:rsidRPr="00000000" w14:paraId="00000737">
      <w:pPr>
        <w:spacing w:line="200" w:lineRule="auto"/>
        <w:jc w:val="both"/>
        <w:rPr>
          <w:sz w:val="16"/>
          <w:szCs w:val="16"/>
          <w:vertAlign w:val="superscript"/>
        </w:rPr>
      </w:pPr>
      <w:r w:rsidDel="00000000" w:rsidR="00000000" w:rsidRPr="00000000">
        <w:rPr>
          <w:sz w:val="16"/>
          <w:szCs w:val="16"/>
          <w:vertAlign w:val="superscript"/>
          <w:rtl w:val="0"/>
        </w:rPr>
        <w:t xml:space="preserve">__________</w:t>
      </w:r>
    </w:p>
    <w:p w:rsidR="00000000" w:rsidDel="00000000" w:rsidP="00000000" w:rsidRDefault="00000000" w:rsidRPr="00000000" w14:paraId="00000738">
      <w:pPr>
        <w:spacing w:line="20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vertAlign w:val="superscript"/>
          <w:rtl w:val="0"/>
        </w:rPr>
        <w:t xml:space="preserve">1)</w:t>
      </w:r>
      <w:r w:rsidDel="00000000" w:rsidR="00000000" w:rsidRPr="00000000">
        <w:rPr>
          <w:sz w:val="16"/>
          <w:szCs w:val="16"/>
          <w:rtl w:val="0"/>
        </w:rPr>
        <w:t xml:space="preserve"> Государственное социальное страхование и государственное медицинское страхование.</w:t>
      </w:r>
    </w:p>
    <w:p w:rsidR="00000000" w:rsidDel="00000000" w:rsidP="00000000" w:rsidRDefault="00000000" w:rsidRPr="00000000" w14:paraId="00000739">
      <w:pPr>
        <w:pStyle w:val="Heading3"/>
        <w:spacing w:line="240" w:lineRule="auto"/>
        <w:jc w:val="right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pStyle w:val="Heading3"/>
        <w:spacing w:line="240" w:lineRule="auto"/>
        <w:jc w:val="right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7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затрат на содержание рабочей силы в России</w:t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7.0" w:type="dxa"/>
        <w:jc w:val="left"/>
        <w:tblInd w:w="-71.0" w:type="dxa"/>
        <w:tblLayout w:type="fixed"/>
        <w:tblLook w:val="0000"/>
      </w:tblPr>
      <w:tblGrid>
        <w:gridCol w:w="3332"/>
        <w:gridCol w:w="1476"/>
        <w:gridCol w:w="225"/>
        <w:gridCol w:w="1338"/>
        <w:gridCol w:w="363"/>
        <w:gridCol w:w="1200"/>
        <w:gridCol w:w="217"/>
        <w:gridCol w:w="1346"/>
        <w:tblGridChange w:id="0">
          <w:tblGrid>
            <w:gridCol w:w="3332"/>
            <w:gridCol w:w="1476"/>
            <w:gridCol w:w="225"/>
            <w:gridCol w:w="1338"/>
            <w:gridCol w:w="363"/>
            <w:gridCol w:w="1200"/>
            <w:gridCol w:w="217"/>
            <w:gridCol w:w="134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0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0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0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0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среднем на одного работника в месяц,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рублей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60">
            <w:pPr>
              <w:spacing w:line="200" w:lineRule="auto"/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28590,4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45870,2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59902,2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90058,9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68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70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18643,6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29018,1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37991,5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57677,1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78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2074,8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3074,2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3841,1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5791,8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80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1433,4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2170,8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2872,8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4982,2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88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141,5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167,9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229,0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331,0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90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73,6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114,5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98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5256,2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9812,5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13233,9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19390,8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0">
            <w:pPr>
              <w:spacing w:line="20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 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4628,9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8797,9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12049,3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17832,5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8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79,4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134,2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161,0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210,5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0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119,3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155,8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161,2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153,2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8">
            <w:pPr>
              <w:spacing w:line="20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720,1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1076,0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1334,6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1407,8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.00000000000001" w:before="0" w:line="20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налоги, включаемые в </w:t>
              <w:br w:type="textWrapping"/>
              <w:t xml:space="preserve">расходы на рабочую силу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49,4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187,0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-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0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% к итогу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D0">
            <w:pPr>
              <w:spacing w:line="240" w:lineRule="auto"/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E0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64,1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E8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неотработан-ное время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6,4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F0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</w:t>
              <w:br w:type="textWrapping"/>
              <w:t xml:space="preserve">поощрения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7F8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</w:t>
              <w:br w:type="textWrapping"/>
              <w:t xml:space="preserve">проживания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00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08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21,4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22,1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21,5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0">
            <w:pPr>
              <w:spacing w:line="240" w:lineRule="auto"/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</w:t>
              <w:br w:type="textWrapping"/>
              <w:t xml:space="preserve">отчисления 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16,2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19,2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20,1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19,8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8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0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8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1,6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30">
            <w:pPr>
              <w:spacing w:line="240" w:lineRule="auto"/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налоги, включаемые в </w:t>
              <w:br w:type="textWrapping"/>
              <w:t xml:space="preserve">расходы на рабочую силу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bottom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spacing w:line="2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D">
      <w:pPr>
        <w:spacing w:line="2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spacing w:line="2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F">
      <w:pPr>
        <w:spacing w:line="2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spacing w:line="2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spacing w:line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затрат на содержание рабочей силы в Узбекистане</w:t>
      </w:r>
    </w:p>
    <w:p w:rsidR="00000000" w:rsidDel="00000000" w:rsidP="00000000" w:rsidRDefault="00000000" w:rsidRPr="00000000" w14:paraId="00000849">
      <w:pPr>
        <w:spacing w:line="2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06.000000000002" w:type="dxa"/>
        <w:jc w:val="left"/>
        <w:tblInd w:w="-70.0" w:type="dxa"/>
        <w:tblLayout w:type="fixed"/>
        <w:tblLook w:val="0000"/>
      </w:tblPr>
      <w:tblGrid>
        <w:gridCol w:w="4323"/>
        <w:gridCol w:w="1984"/>
        <w:gridCol w:w="1701"/>
        <w:gridCol w:w="142"/>
        <w:gridCol w:w="1136"/>
        <w:gridCol w:w="120"/>
        <w:tblGridChange w:id="0">
          <w:tblGrid>
            <w:gridCol w:w="4323"/>
            <w:gridCol w:w="1984"/>
            <w:gridCol w:w="1701"/>
            <w:gridCol w:w="142"/>
            <w:gridCol w:w="1136"/>
            <w:gridCol w:w="1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A">
            <w:pPr>
              <w:spacing w:after="40" w:before="4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84B">
            <w:pPr>
              <w:spacing w:after="40" w:before="4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84C">
            <w:pPr>
              <w:spacing w:after="40" w:before="4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84D">
            <w:pPr>
              <w:spacing w:after="40" w:before="4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2023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F">
            <w:pPr>
              <w:spacing w:after="40" w:before="4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keepNext w:val="1"/>
              <w:spacing w:after="40" w:before="4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среднем на одного работника в месяц,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сумов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55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3784827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56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4543906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57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5209149,1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5A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5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5C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5E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5F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2190134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6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2737445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61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3049033,7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63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64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144788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65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222557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66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283543,8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68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69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727836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6A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805645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6B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934557,1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6D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6E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6F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70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72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73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1932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7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3324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75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4047,1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7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78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607948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7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685426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7A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822680,2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7C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7D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481765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7E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582517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7F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695457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82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17309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83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8024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84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16733,8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86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87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3296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88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2128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89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3254,8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8B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8C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58409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8D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53354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8E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87824,8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90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налоги, включаемые в расходы на рабочую силу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ind w:right="22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33175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892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26002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893">
            <w:pPr>
              <w:ind w:left="-57" w:right="22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7473,8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89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 % к итогу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Затраты на рабочую силу - всего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9C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9D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9F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A2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A3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A5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A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прямая денежная заработная плата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A8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A9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AB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58,5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AD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за неотработанное время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AE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AF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4,9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B1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B3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премии и денежные поощрения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B4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B5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B7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B9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оплата питания и проживания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BA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BB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BD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BF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по обеспечению работников жильем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C0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C1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C3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C5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социальную защиту работников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C6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C7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C9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15,8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CB">
            <w:pPr>
              <w:ind w:lef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 них - обязательные отчисления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CC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12,7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CD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12,8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CF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профессиональное обучение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D2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D3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D5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D7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расходы на культурно-бытовое обслуживание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D8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D9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DB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DD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прочие расходы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DE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DF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8E1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8E3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налоги, включаемые в расходы на рабочую силу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ind w:right="34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0,9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8E5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0,6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8E7">
            <w:pPr>
              <w:ind w:left="-57" w:right="3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</w:tbl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4">
      <w:pPr>
        <w:jc w:val="right"/>
        <w:rPr/>
      </w:pPr>
      <w:r w:rsidDel="00000000" w:rsidR="00000000" w:rsidRPr="00000000">
        <w:rPr>
          <w:rtl w:val="0"/>
        </w:rPr>
        <w:t xml:space="preserve">Приложение 9.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Затраты на рабочую силу по некоторым видам экономической деятельности в 2023г.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-57" w:right="-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 % к средней сумме затрат на содержание рабочей силы по стране)</w:t>
      </w:r>
    </w:p>
    <w:tbl>
      <w:tblPr>
        <w:tblStyle w:val="Table11"/>
        <w:tblW w:w="9468.999999999998" w:type="dxa"/>
        <w:jc w:val="left"/>
        <w:tblInd w:w="29.000000000000004" w:type="dxa"/>
        <w:tblLayout w:type="fixed"/>
        <w:tblLook w:val="0000"/>
      </w:tblPr>
      <w:tblGrid>
        <w:gridCol w:w="2127"/>
        <w:gridCol w:w="1105"/>
        <w:gridCol w:w="850"/>
        <w:gridCol w:w="851"/>
        <w:gridCol w:w="992"/>
        <w:gridCol w:w="1134"/>
        <w:gridCol w:w="709"/>
        <w:gridCol w:w="708"/>
        <w:gridCol w:w="993"/>
        <w:tblGridChange w:id="0">
          <w:tblGrid>
            <w:gridCol w:w="2127"/>
            <w:gridCol w:w="1105"/>
            <w:gridCol w:w="850"/>
            <w:gridCol w:w="851"/>
            <w:gridCol w:w="992"/>
            <w:gridCol w:w="1134"/>
            <w:gridCol w:w="709"/>
            <w:gridCol w:w="708"/>
            <w:gridCol w:w="9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F7">
            <w:pPr>
              <w:spacing w:line="160" w:lineRule="auto"/>
              <w:ind w:left="-113" w:right="-57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8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Азербайджан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9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Армения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A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Беларусь (2022)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B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Казахстан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C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Кыргызстан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D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Молдова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E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Россия</w:t>
            </w:r>
          </w:p>
          <w:p w:rsidR="00000000" w:rsidDel="00000000" w:rsidP="00000000" w:rsidRDefault="00000000" w:rsidRPr="00000000" w14:paraId="000008FF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(2021)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0">
            <w:pPr>
              <w:spacing w:line="160" w:lineRule="auto"/>
              <w:ind w:left="-113" w:right="-1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Узбекистан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Сельское, лесное хозяйство и рыболовство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0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3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0A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Горнодобывающая промышленность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0B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C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D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E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0F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0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1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204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13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Обрабатывающая промышленность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A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B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122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1C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Электроснабжение, подача газа, пара и воздушное кондиционирование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1D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E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1F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0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1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3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25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Водоснабжение; канали-</w:t>
              <w:br w:type="textWrapping"/>
              <w:t xml:space="preserve">зационная система, контроль над сбором и распределением отходов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2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A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B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C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D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2E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Строительство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2F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30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31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3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33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3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3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93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37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Оптовая и розничная торговля, ремонт автомобилей и мотоциклов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3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3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3A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3B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3C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3D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3E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3F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40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Транспорт и складирование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41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4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43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4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4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4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4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4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49">
            <w:pPr>
              <w:spacing w:before="80" w:line="200" w:lineRule="auto"/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Услуги по проживанию и питанию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4A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4B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4C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4D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4E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4F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50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51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52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Информация и связь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53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5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5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5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5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5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5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146</w:t>
            </w:r>
          </w:p>
        </w:tc>
        <w:tc>
          <w:tcPr/>
          <w:p w:rsidR="00000000" w:rsidDel="00000000" w:rsidP="00000000" w:rsidRDefault="00000000" w:rsidRPr="00000000" w14:paraId="0000095A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5B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Финансовая и страховая деятельность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5C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5D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5E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5F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60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61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6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63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Операции с недвижимым имуществом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6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6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6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6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6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6A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6B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6C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6D">
            <w:pPr>
              <w:spacing w:before="80" w:line="200" w:lineRule="auto"/>
              <w:ind w:right="-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Государственное управление и оборона, обязательное социальное обеспечение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6E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6F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70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71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7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73">
            <w:pPr>
              <w:spacing w:before="80" w:line="200" w:lineRule="auto"/>
              <w:ind w:left="-5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7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7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76">
            <w:pPr>
              <w:spacing w:before="80" w:line="200" w:lineRule="auto"/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Образование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7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7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7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7A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7B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7C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7D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97E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7F">
            <w:pPr>
              <w:spacing w:before="80"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Здравоохранение и </w:t>
              <w:br w:type="textWrapping"/>
              <w:t xml:space="preserve">социальные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0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1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3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8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8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8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88">
            <w:pPr>
              <w:spacing w:before="80" w:line="200" w:lineRule="auto"/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Искусство, развлечения и отдых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A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B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8C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98D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8E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8F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90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spacing w:before="80" w:line="200" w:lineRule="auto"/>
              <w:ind w:right="-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Предоставление прочих видов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92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93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94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95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96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97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98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999">
            <w:pPr>
              <w:spacing w:before="80" w:line="200" w:lineRule="auto"/>
              <w:ind w:left="-57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</w:t>
            </w:r>
          </w:p>
        </w:tc>
      </w:tr>
    </w:tbl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-57" w:right="-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C">
      <w:pPr>
        <w:spacing w:line="2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jc w:val="right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80" w:lineRule="auto"/>
    </w:pPr>
    <w:rPr>
      <w:b w:val="1"/>
      <w:sz w:val="25"/>
      <w:szCs w:val="25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14.399999999999999" w:lineRule="auto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line="340" w:lineRule="auto"/>
      <w:jc w:val="center"/>
    </w:pPr>
    <w:rPr>
      <w:b w:val="1"/>
      <w:sz w:val="33"/>
      <w:szCs w:val="33"/>
    </w:rPr>
  </w:style>
  <w:style w:type="paragraph" w:styleId="Heading5">
    <w:name w:val="heading 5"/>
    <w:basedOn w:val="Normal"/>
    <w:next w:val="Normal"/>
    <w:pPr>
      <w:keepNext w:val="1"/>
      <w:spacing w:line="280" w:lineRule="auto"/>
      <w:jc w:val="center"/>
    </w:pPr>
    <w:rPr>
      <w:b w:val="1"/>
      <w:sz w:val="29"/>
      <w:szCs w:val="29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widowControl w:val="1"/>
      <w:spacing w:after="60" w:before="240" w:lineRule="auto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widowControl w:val="1"/>
      <w:spacing w:after="60" w:lineRule="auto"/>
      <w:jc w:val="center"/>
    </w:pPr>
    <w:rPr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footer" Target="footer1.xml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oleObject" Target="file:///C:\&#1044;&#1080;&#1089;&#1082;%20&#1044;\&#1052;&#1040;&#1056;&#1048;&#1053;&#1040;\&#1052;&#1072;&#1088;&#1080;&#1085;&#1072;\WORD\2024\&#1041;&#1102;&#1083;&#1083;&#1077;&#1090;&#1077;&#1085;&#1100;\3\&#1047;&#1072;&#1090;&#1088;&#1072;&#1090;&#1099;%20&#1085;&#1072;%20&#1089;&#1086;&#1076;%20&#1088;&#1072;&#1073;&#1086;&#1095;&#1077;&#1081;%20&#1089;&#1080;&#1083;&#1099;\&#1043;&#1088;&#1072;&#1092;&#1080;&#1082;%201%20(&#1076;&#1083;&#1103;%20&#1079;&#1072;&#1087;&#1080;&#1089;&#1082;&#1080;).xlsx" TargetMode="External"/></Relationships>
</file>

<file path=word/charts/_rels/chart2.xml.rels><?xml version="1.0" encoding="UTF-8" standalone="yes"?><Relationships xmlns="http://schemas.openxmlformats.org/package/2006/relationships"><Relationship Id="rId1" Type="http://schemas.openxmlformats.org/officeDocument/2006/relationships/oleObject" Target="file:///C:\&#1044;&#1080;&#1089;&#1082;%20&#1044;\&#1052;&#1040;&#1056;&#1048;&#1053;&#1040;\&#1052;&#1072;&#1088;&#1080;&#1085;&#1072;\WORD\2024\&#1041;&#1102;&#1083;&#1083;&#1077;&#1090;&#1077;&#1085;&#1100;\3\&#1047;&#1072;&#1090;&#1088;&#1072;&#1090;&#1099;%20&#1085;&#1072;%20&#1089;&#1086;&#1076;%20&#1088;&#1072;&#1073;&#1086;&#1095;&#1077;&#1081;%20&#1089;&#1080;&#1083;&#1099;\&#1075;&#1088;&#1072;&#1092;&#1080;&#1082;%202%20(&#1076;&#1083;&#1103;%20&#1079;&#1072;&#1087;&#1080;&#1089;&#1082;&#1080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8666728877449832"/>
          <c:y val="1.1142068858584001E-2"/>
          <c:w val="0.65777920525001321"/>
          <c:h val="0.94568309437231679"/>
        </c:manualLayout>
      </c:layout>
      <c:barChart>
        <c:barDir val="bar"/>
        <c:grouping val="clustered"/>
        <c:ser>
          <c:idx val="0"/>
          <c:order val="0"/>
          <c:spPr>
            <a:pattFill prst="wd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Лист2!$A$51:$A$93</c:f>
              <c:strCache>
                <c:ptCount val="43"/>
                <c:pt idx="0">
                  <c:v>Мальта</c:v>
                </c:pt>
                <c:pt idx="1">
                  <c:v>Литва</c:v>
                </c:pt>
                <c:pt idx="2">
                  <c:v>Румыния</c:v>
                </c:pt>
                <c:pt idx="3">
                  <c:v>Хорватия </c:v>
                </c:pt>
                <c:pt idx="4">
                  <c:v>Ирландия</c:v>
                </c:pt>
                <c:pt idx="5">
                  <c:v>Дания</c:v>
                </c:pt>
                <c:pt idx="6">
                  <c:v>Турция</c:v>
                </c:pt>
                <c:pt idx="7">
                  <c:v>Словения</c:v>
                </c:pt>
                <c:pt idx="8">
                  <c:v>Люксембург</c:v>
                </c:pt>
                <c:pt idx="9">
                  <c:v>Болгария</c:v>
                </c:pt>
                <c:pt idx="10">
                  <c:v>Норвегия </c:v>
                </c:pt>
                <c:pt idx="11">
                  <c:v>Польша </c:v>
                </c:pt>
                <c:pt idx="12">
                  <c:v>Венгрия</c:v>
                </c:pt>
                <c:pt idx="13">
                  <c:v>Финляндия </c:v>
                </c:pt>
                <c:pt idx="14">
                  <c:v>Португалия</c:v>
                </c:pt>
                <c:pt idx="15">
                  <c:v>Кипр</c:v>
                </c:pt>
                <c:pt idx="16">
                  <c:v>Швейцария </c:v>
                </c:pt>
                <c:pt idx="17">
                  <c:v>Греция </c:v>
                </c:pt>
                <c:pt idx="18">
                  <c:v>Латвия</c:v>
                </c:pt>
                <c:pt idx="19">
                  <c:v>Нидерланды </c:v>
                </c:pt>
                <c:pt idx="20">
                  <c:v>Исландия </c:v>
                </c:pt>
                <c:pt idx="21">
                  <c:v>Германия</c:v>
                </c:pt>
                <c:pt idx="22">
                  <c:v>Бельгия</c:v>
                </c:pt>
                <c:pt idx="23">
                  <c:v>Словакия</c:v>
                </c:pt>
                <c:pt idx="24">
                  <c:v>Эстония</c:v>
                </c:pt>
                <c:pt idx="25">
                  <c:v>Австрия</c:v>
                </c:pt>
                <c:pt idx="26">
                  <c:v>Испания</c:v>
                </c:pt>
                <c:pt idx="27">
                  <c:v>Чехия</c:v>
                </c:pt>
                <c:pt idx="28">
                  <c:v>Италия </c:v>
                </c:pt>
                <c:pt idx="29">
                  <c:v>Швеция </c:v>
                </c:pt>
                <c:pt idx="30">
                  <c:v>Франция</c:v>
                </c:pt>
                <c:pt idx="31">
                  <c:v>Страны ЕС -27(2020)</c:v>
                </c:pt>
                <c:pt idx="33">
                  <c:v>Армения</c:v>
                </c:pt>
                <c:pt idx="34">
                  <c:v>Казахстан</c:v>
                </c:pt>
                <c:pt idx="35">
                  <c:v>Кыргызстан</c:v>
                </c:pt>
                <c:pt idx="36">
                  <c:v>Узбекистан</c:v>
                </c:pt>
                <c:pt idx="37">
                  <c:v>Азербайджан</c:v>
                </c:pt>
                <c:pt idx="38">
                  <c:v>Таджикистан</c:v>
                </c:pt>
                <c:pt idx="39">
                  <c:v>Молдова</c:v>
                </c:pt>
                <c:pt idx="40">
                  <c:v>Россия (2021)</c:v>
                </c:pt>
                <c:pt idx="41">
                  <c:v>Беларусь (2022)</c:v>
                </c:pt>
                <c:pt idx="42">
                  <c:v> Страны СНГ (2023)</c:v>
                </c:pt>
              </c:strCache>
            </c:strRef>
          </c:cat>
          <c:val>
            <c:numRef>
              <c:f>Лист2!$B$51:$B$93</c:f>
              <c:numCache>
                <c:formatCode>0</c:formatCode>
                <c:ptCount val="43"/>
                <c:pt idx="0">
                  <c:v>99</c:v>
                </c:pt>
                <c:pt idx="1">
                  <c:v>96</c:v>
                </c:pt>
                <c:pt idx="2">
                  <c:v>95</c:v>
                </c:pt>
                <c:pt idx="3">
                  <c:v>88</c:v>
                </c:pt>
                <c:pt idx="4">
                  <c:v>88</c:v>
                </c:pt>
                <c:pt idx="5">
                  <c:v>87</c:v>
                </c:pt>
                <c:pt idx="6">
                  <c:v>87</c:v>
                </c:pt>
                <c:pt idx="7">
                  <c:v>87</c:v>
                </c:pt>
                <c:pt idx="8">
                  <c:v>87</c:v>
                </c:pt>
                <c:pt idx="9">
                  <c:v>86</c:v>
                </c:pt>
                <c:pt idx="10">
                  <c:v>82</c:v>
                </c:pt>
                <c:pt idx="11">
                  <c:v>82</c:v>
                </c:pt>
                <c:pt idx="12">
                  <c:v>82</c:v>
                </c:pt>
                <c:pt idx="13">
                  <c:v>81</c:v>
                </c:pt>
                <c:pt idx="14">
                  <c:v>81</c:v>
                </c:pt>
                <c:pt idx="15">
                  <c:v>81</c:v>
                </c:pt>
                <c:pt idx="16">
                  <c:v>80</c:v>
                </c:pt>
                <c:pt idx="17">
                  <c:v>80</c:v>
                </c:pt>
                <c:pt idx="18">
                  <c:v>79.099999999999994</c:v>
                </c:pt>
                <c:pt idx="19">
                  <c:v>79</c:v>
                </c:pt>
                <c:pt idx="20">
                  <c:v>79</c:v>
                </c:pt>
                <c:pt idx="21">
                  <c:v>78</c:v>
                </c:pt>
                <c:pt idx="22">
                  <c:v>77</c:v>
                </c:pt>
                <c:pt idx="23">
                  <c:v>75</c:v>
                </c:pt>
                <c:pt idx="24">
                  <c:v>75</c:v>
                </c:pt>
                <c:pt idx="25">
                  <c:v>74</c:v>
                </c:pt>
                <c:pt idx="26">
                  <c:v>74</c:v>
                </c:pt>
                <c:pt idx="27">
                  <c:v>73</c:v>
                </c:pt>
                <c:pt idx="28">
                  <c:v>72</c:v>
                </c:pt>
                <c:pt idx="29">
                  <c:v>69</c:v>
                </c:pt>
                <c:pt idx="30">
                  <c:v>67</c:v>
                </c:pt>
                <c:pt idx="33">
                  <c:v>98</c:v>
                </c:pt>
                <c:pt idx="34">
                  <c:v>86</c:v>
                </c:pt>
                <c:pt idx="35">
                  <c:v>84</c:v>
                </c:pt>
                <c:pt idx="36">
                  <c:v>82</c:v>
                </c:pt>
                <c:pt idx="37">
                  <c:v>82</c:v>
                </c:pt>
                <c:pt idx="38">
                  <c:v>80</c:v>
                </c:pt>
                <c:pt idx="39">
                  <c:v>80</c:v>
                </c:pt>
                <c:pt idx="40">
                  <c:v>76</c:v>
                </c:pt>
                <c:pt idx="41">
                  <c:v>74</c:v>
                </c:pt>
              </c:numCache>
            </c:numRef>
          </c:val>
        </c:ser>
        <c:gapWidth val="50"/>
        <c:axId val="64565632"/>
        <c:axId val="64567168"/>
      </c:barChart>
      <c:catAx>
        <c:axId val="645656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4567168"/>
        <c:crosses val="autoZero"/>
        <c:auto val="1"/>
        <c:lblAlgn val="ctr"/>
        <c:lblOffset val="100"/>
        <c:tickLblSkip val="1"/>
        <c:tickMarkSkip val="1"/>
      </c:catAx>
      <c:valAx>
        <c:axId val="64567168"/>
        <c:scaling>
          <c:orientation val="minMax"/>
          <c:max val="110"/>
        </c:scaling>
        <c:axPos val="b"/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4565632"/>
        <c:crosses val="autoZero"/>
        <c:crossBetween val="between"/>
        <c:majorUnit val="10"/>
      </c:valAx>
      <c:spPr>
        <a:noFill/>
        <a:ln w="12700">
          <a:noFill/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0.29376826691176244"/>
          <c:y val="3.2221376131524017E-2"/>
          <c:w val="0.6559040217521388"/>
          <c:h val="0.92047447370743907"/>
        </c:manualLayout>
      </c:layout>
      <c:barChart>
        <c:barDir val="bar"/>
        <c:grouping val="clustered"/>
        <c:ser>
          <c:idx val="0"/>
          <c:order val="0"/>
          <c:spPr>
            <a:pattFill prst="dkVert">
              <a:fgClr>
                <a:schemeClr val="accent3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strRef>
              <c:f>Лист4!$A$4:$A$47</c:f>
              <c:strCache>
                <c:ptCount val="43"/>
                <c:pt idx="0">
                  <c:v>Франция</c:v>
                </c:pt>
                <c:pt idx="1">
                  <c:v>Италия</c:v>
                </c:pt>
                <c:pt idx="2">
                  <c:v>Словакия</c:v>
                </c:pt>
                <c:pt idx="3">
                  <c:v>Чехия</c:v>
                </c:pt>
                <c:pt idx="4">
                  <c:v>Испания</c:v>
                </c:pt>
                <c:pt idx="5">
                  <c:v>Бельгия</c:v>
                </c:pt>
                <c:pt idx="6">
                  <c:v>Эстония</c:v>
                </c:pt>
                <c:pt idx="7">
                  <c:v>Австрия</c:v>
                </c:pt>
                <c:pt idx="8">
                  <c:v>Нидерланды </c:v>
                </c:pt>
                <c:pt idx="9">
                  <c:v>Германия</c:v>
                </c:pt>
                <c:pt idx="10">
                  <c:v>Исландия </c:v>
                </c:pt>
                <c:pt idx="11">
                  <c:v>Латвия</c:v>
                </c:pt>
                <c:pt idx="12">
                  <c:v>Греция </c:v>
                </c:pt>
                <c:pt idx="13">
                  <c:v>Португалия</c:v>
                </c:pt>
                <c:pt idx="14">
                  <c:v>Кипр</c:v>
                </c:pt>
                <c:pt idx="15">
                  <c:v>Финляндия </c:v>
                </c:pt>
                <c:pt idx="16">
                  <c:v>Польша </c:v>
                </c:pt>
                <c:pt idx="17">
                  <c:v>Швейцария </c:v>
                </c:pt>
                <c:pt idx="18">
                  <c:v>Швеция</c:v>
                </c:pt>
                <c:pt idx="19">
                  <c:v>Словения</c:v>
                </c:pt>
                <c:pt idx="20">
                  <c:v>Болгария</c:v>
                </c:pt>
                <c:pt idx="21">
                  <c:v>Венгрия</c:v>
                </c:pt>
                <c:pt idx="22">
                  <c:v>Хорватия </c:v>
                </c:pt>
                <c:pt idx="23">
                  <c:v>Ирландия</c:v>
                </c:pt>
                <c:pt idx="24">
                  <c:v>Люксембург</c:v>
                </c:pt>
                <c:pt idx="25">
                  <c:v>Турция</c:v>
                </c:pt>
                <c:pt idx="26">
                  <c:v>Дания</c:v>
                </c:pt>
                <c:pt idx="27">
                  <c:v>Норвегия </c:v>
                </c:pt>
                <c:pt idx="28">
                  <c:v>Мальта</c:v>
                </c:pt>
                <c:pt idx="29">
                  <c:v>Румыния</c:v>
                </c:pt>
                <c:pt idx="30">
                  <c:v>Литва</c:v>
                </c:pt>
                <c:pt idx="31">
                  <c:v>Страны ЕС -27 (2020)</c:v>
                </c:pt>
                <c:pt idx="33">
                  <c:v>Беларусь (2022)</c:v>
                </c:pt>
                <c:pt idx="34">
                  <c:v>Россия (2021)</c:v>
                </c:pt>
                <c:pt idx="35">
                  <c:v>Таджикистан </c:v>
                </c:pt>
                <c:pt idx="36">
                  <c:v>Молдова</c:v>
                </c:pt>
                <c:pt idx="37">
                  <c:v>Азербайджан</c:v>
                </c:pt>
                <c:pt idx="38">
                  <c:v>Кыргызстан</c:v>
                </c:pt>
                <c:pt idx="39">
                  <c:v>Узбекистан</c:v>
                </c:pt>
                <c:pt idx="40">
                  <c:v>Казахстан</c:v>
                </c:pt>
                <c:pt idx="41">
                  <c:v>Армения </c:v>
                </c:pt>
                <c:pt idx="42">
                  <c:v> Страны СНГ (2023)</c:v>
                </c:pt>
              </c:strCache>
            </c:strRef>
          </c:cat>
          <c:val>
            <c:numRef>
              <c:f>Лист4!$B$4:$B$46</c:f>
              <c:numCache>
                <c:formatCode>0</c:formatCode>
                <c:ptCount val="43"/>
                <c:pt idx="0">
                  <c:v>28</c:v>
                </c:pt>
                <c:pt idx="1">
                  <c:v>28</c:v>
                </c:pt>
                <c:pt idx="2">
                  <c:v>27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24</c:v>
                </c:pt>
                <c:pt idx="8">
                  <c:v>22</c:v>
                </c:pt>
                <c:pt idx="9">
                  <c:v>22</c:v>
                </c:pt>
                <c:pt idx="10">
                  <c:v>21</c:v>
                </c:pt>
                <c:pt idx="11">
                  <c:v>21</c:v>
                </c:pt>
                <c:pt idx="12">
                  <c:v>20</c:v>
                </c:pt>
                <c:pt idx="13">
                  <c:v>19</c:v>
                </c:pt>
                <c:pt idx="14">
                  <c:v>19</c:v>
                </c:pt>
                <c:pt idx="15">
                  <c:v>18</c:v>
                </c:pt>
                <c:pt idx="16">
                  <c:v>17</c:v>
                </c:pt>
                <c:pt idx="17">
                  <c:v>17</c:v>
                </c:pt>
                <c:pt idx="18">
                  <c:v>17</c:v>
                </c:pt>
                <c:pt idx="19">
                  <c:v>16</c:v>
                </c:pt>
                <c:pt idx="20">
                  <c:v>16</c:v>
                </c:pt>
                <c:pt idx="21">
                  <c:v>15</c:v>
                </c:pt>
                <c:pt idx="22">
                  <c:v>14</c:v>
                </c:pt>
                <c:pt idx="23">
                  <c:v>13</c:v>
                </c:pt>
                <c:pt idx="24">
                  <c:v>13</c:v>
                </c:pt>
                <c:pt idx="25">
                  <c:v>13</c:v>
                </c:pt>
                <c:pt idx="26">
                  <c:v>10</c:v>
                </c:pt>
                <c:pt idx="27">
                  <c:v>9</c:v>
                </c:pt>
                <c:pt idx="28">
                  <c:v>7</c:v>
                </c:pt>
                <c:pt idx="29">
                  <c:v>6</c:v>
                </c:pt>
                <c:pt idx="30">
                  <c:v>6</c:v>
                </c:pt>
                <c:pt idx="33">
                  <c:v>24</c:v>
                </c:pt>
                <c:pt idx="34">
                  <c:v>22</c:v>
                </c:pt>
                <c:pt idx="35">
                  <c:v>19</c:v>
                </c:pt>
                <c:pt idx="36">
                  <c:v>19</c:v>
                </c:pt>
                <c:pt idx="37">
                  <c:v>18</c:v>
                </c:pt>
                <c:pt idx="38">
                  <c:v>16</c:v>
                </c:pt>
                <c:pt idx="39">
                  <c:v>16</c:v>
                </c:pt>
                <c:pt idx="40">
                  <c:v>6</c:v>
                </c:pt>
                <c:pt idx="4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DD-4F00-96A9-3AC0B98CDE4F}"/>
            </c:ext>
          </c:extLst>
        </c:ser>
        <c:axId val="64574976"/>
        <c:axId val="64576512"/>
      </c:barChart>
      <c:catAx>
        <c:axId val="6457497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576512"/>
        <c:crosses val="autoZero"/>
        <c:auto val="1"/>
        <c:lblAlgn val="ctr"/>
        <c:lblOffset val="100"/>
      </c:catAx>
      <c:valAx>
        <c:axId val="64576512"/>
        <c:scaling>
          <c:orientation val="minMax"/>
        </c:scaling>
        <c:axPos val="b"/>
        <c:majorGridlines>
          <c:spPr>
            <a:ln>
              <a:noFill/>
            </a:ln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5749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